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697B7F" w:rsidRPr="00697B7F">
        <w:rPr>
          <w:b/>
          <w:i/>
          <w:sz w:val="28"/>
          <w:szCs w:val="28"/>
          <w:u w:val="single"/>
        </w:rPr>
        <w:t>1</w:t>
      </w:r>
      <w:r w:rsidR="00E0349D">
        <w:rPr>
          <w:b/>
          <w:i/>
          <w:sz w:val="28"/>
          <w:szCs w:val="28"/>
          <w:u w:val="single"/>
        </w:rPr>
        <w:t>9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6500AE">
        <w:rPr>
          <w:b/>
          <w:bCs/>
          <w:sz w:val="22"/>
          <w:szCs w:val="22"/>
        </w:rPr>
        <w:t>1</w:t>
      </w:r>
      <w:r w:rsidR="00E0349D">
        <w:rPr>
          <w:b/>
          <w:bCs/>
          <w:sz w:val="22"/>
          <w:szCs w:val="22"/>
        </w:rPr>
        <w:t>9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7D0F92" w:rsidP="002D5C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2725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E0349D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162</w:t>
            </w:r>
            <w:r w:rsidR="002725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272515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261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881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97E14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349D">
              <w:rPr>
                <w:sz w:val="22"/>
                <w:szCs w:val="22"/>
              </w:rPr>
              <w:t>93</w:t>
            </w:r>
            <w:r w:rsidR="0041595A">
              <w:rPr>
                <w:sz w:val="22"/>
                <w:szCs w:val="22"/>
              </w:rPr>
              <w:t xml:space="preserve"> </w:t>
            </w:r>
            <w:r w:rsidR="00E0349D"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E0349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349D">
              <w:rPr>
                <w:sz w:val="22"/>
                <w:szCs w:val="22"/>
              </w:rPr>
              <w:t>92</w:t>
            </w:r>
            <w:r w:rsidR="0041595A">
              <w:rPr>
                <w:sz w:val="22"/>
                <w:szCs w:val="22"/>
              </w:rPr>
              <w:t> </w:t>
            </w:r>
            <w:r w:rsidR="00E0349D">
              <w:rPr>
                <w:sz w:val="22"/>
                <w:szCs w:val="22"/>
              </w:rPr>
              <w:t>951</w:t>
            </w:r>
            <w:r w:rsidR="0041595A">
              <w:rPr>
                <w:sz w:val="22"/>
                <w:szCs w:val="22"/>
              </w:rPr>
              <w:t>,</w:t>
            </w:r>
            <w:r w:rsidR="00E0349D">
              <w:rPr>
                <w:sz w:val="22"/>
                <w:szCs w:val="22"/>
              </w:rPr>
              <w:t>0</w:t>
            </w:r>
            <w:r w:rsidR="00B97E14"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E0349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2725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7287A">
              <w:rPr>
                <w:sz w:val="22"/>
                <w:szCs w:val="22"/>
              </w:rPr>
              <w:t> </w:t>
            </w:r>
            <w:r w:rsidR="002725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272515">
              <w:rPr>
                <w:sz w:val="22"/>
                <w:szCs w:val="22"/>
              </w:rPr>
              <w:t>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2515">
              <w:rPr>
                <w:sz w:val="22"/>
                <w:szCs w:val="22"/>
              </w:rPr>
              <w:t>5</w:t>
            </w:r>
            <w:r w:rsidR="00250294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E0349D">
              <w:rPr>
                <w:sz w:val="22"/>
                <w:szCs w:val="22"/>
              </w:rPr>
              <w:t>137</w:t>
            </w:r>
            <w:r w:rsidR="00250294">
              <w:rPr>
                <w:sz w:val="22"/>
                <w:szCs w:val="22"/>
              </w:rPr>
              <w:t>,</w:t>
            </w:r>
            <w:r w:rsidR="00E0349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E0349D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676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434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810415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0349D">
              <w:rPr>
                <w:b/>
                <w:bCs/>
                <w:sz w:val="22"/>
                <w:szCs w:val="22"/>
              </w:rPr>
              <w:t>27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 w:rsidR="00E0349D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E0349D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922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792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 w:rsidR="0027251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E0349D" w:rsidP="00E034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921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548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096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50294">
              <w:rPr>
                <w:sz w:val="22"/>
                <w:szCs w:val="22"/>
              </w:rPr>
              <w:t>,</w:t>
            </w:r>
            <w:r w:rsidR="0027251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E0349D">
              <w:rPr>
                <w:sz w:val="22"/>
                <w:szCs w:val="22"/>
              </w:rPr>
              <w:t>89</w:t>
            </w:r>
            <w:r w:rsidR="0041595A">
              <w:rPr>
                <w:sz w:val="22"/>
                <w:szCs w:val="22"/>
              </w:rPr>
              <w:t xml:space="preserve"> </w:t>
            </w:r>
            <w:r w:rsidR="00E0349D">
              <w:rPr>
                <w:sz w:val="22"/>
                <w:szCs w:val="22"/>
              </w:rPr>
              <w:t>492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272515">
              <w:rPr>
                <w:sz w:val="22"/>
                <w:szCs w:val="22"/>
              </w:rPr>
              <w:t>9</w:t>
            </w:r>
            <w:r w:rsidR="00E0349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 w:rsidR="00B97E14">
              <w:rPr>
                <w:sz w:val="22"/>
                <w:szCs w:val="22"/>
              </w:rPr>
              <w:t>0</w:t>
            </w:r>
            <w:r w:rsidR="00E0349D">
              <w:rPr>
                <w:sz w:val="22"/>
                <w:szCs w:val="22"/>
              </w:rPr>
              <w:t>85</w:t>
            </w:r>
            <w:r w:rsidR="0041595A">
              <w:rPr>
                <w:sz w:val="22"/>
                <w:szCs w:val="22"/>
              </w:rPr>
              <w:t> </w:t>
            </w:r>
            <w:r w:rsidR="00E0349D">
              <w:rPr>
                <w:sz w:val="22"/>
                <w:szCs w:val="22"/>
              </w:rPr>
              <w:t>069</w:t>
            </w:r>
            <w:r w:rsidR="0041595A">
              <w:rPr>
                <w:sz w:val="22"/>
                <w:szCs w:val="22"/>
              </w:rPr>
              <w:t>,</w:t>
            </w:r>
            <w:r w:rsidR="00E03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E0349D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E0349D" w:rsidP="00E03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868</w:t>
            </w:r>
            <w:r w:rsidR="001728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17287A">
              <w:rPr>
                <w:sz w:val="22"/>
                <w:szCs w:val="22"/>
              </w:rPr>
              <w:t>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0349D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184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272515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E0349D">
              <w:rPr>
                <w:b/>
                <w:bCs/>
                <w:sz w:val="22"/>
                <w:szCs w:val="22"/>
              </w:rPr>
              <w:t>8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 w:rsidR="00E0349D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272515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 w:rsidR="00E0349D">
              <w:rPr>
                <w:b/>
                <w:bCs/>
                <w:sz w:val="22"/>
                <w:szCs w:val="22"/>
              </w:rPr>
              <w:t>646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 w:rsidR="00E0349D">
              <w:rPr>
                <w:b/>
                <w:bCs/>
                <w:sz w:val="22"/>
                <w:szCs w:val="22"/>
              </w:rPr>
              <w:t>392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 w:rsidR="00E034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272515" w:rsidP="00E034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 w:rsidR="00E0349D">
              <w:rPr>
                <w:b/>
                <w:sz w:val="22"/>
                <w:szCs w:val="22"/>
              </w:rPr>
              <w:t>641 937,82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E0349D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</w:t>
            </w:r>
            <w:r w:rsidR="008104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E0349D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E0349D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1 276 400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B97E14" w:rsidP="00E03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 w:rsidR="00E0349D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E0349D" w:rsidP="00E034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1 279</w:t>
            </w:r>
            <w:r w:rsidR="00B97E1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610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="00272515">
              <w:rPr>
                <w:b/>
                <w:sz w:val="22"/>
                <w:szCs w:val="22"/>
              </w:rPr>
              <w:t>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E0349D" w:rsidP="00E034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-250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DB3E6E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DB3E6E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-1 276 400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B97E14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F139CB">
              <w:rPr>
                <w:b/>
                <w:sz w:val="22"/>
                <w:szCs w:val="22"/>
              </w:rPr>
              <w:t>,</w:t>
            </w:r>
            <w:r w:rsidR="00DB3E6E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272515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B3E6E">
              <w:rPr>
                <w:b/>
                <w:sz w:val="22"/>
                <w:szCs w:val="22"/>
              </w:rPr>
              <w:t>1 279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 w:rsidR="00DB3E6E">
              <w:rPr>
                <w:b/>
                <w:sz w:val="22"/>
                <w:szCs w:val="22"/>
              </w:rPr>
              <w:t>610</w:t>
            </w:r>
            <w:r w:rsidR="00F139CB">
              <w:rPr>
                <w:b/>
                <w:sz w:val="22"/>
                <w:szCs w:val="22"/>
              </w:rPr>
              <w:t>,</w:t>
            </w:r>
            <w:r w:rsidR="00DB3E6E">
              <w:rPr>
                <w:b/>
                <w:sz w:val="22"/>
                <w:szCs w:val="22"/>
              </w:rPr>
              <w:t>87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04040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DB3E6E" w:rsidP="00DB3E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  <w:r w:rsidR="00F139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DB3E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B3E6E">
              <w:rPr>
                <w:sz w:val="22"/>
                <w:szCs w:val="22"/>
              </w:rPr>
              <w:t>872</w:t>
            </w:r>
            <w:r>
              <w:rPr>
                <w:sz w:val="22"/>
                <w:szCs w:val="22"/>
              </w:rPr>
              <w:t xml:space="preserve"> </w:t>
            </w:r>
            <w:r w:rsidR="00DB3E6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00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B3E6E" w:rsidP="00DB3E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139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DB3E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B3E6E">
              <w:rPr>
                <w:sz w:val="22"/>
                <w:szCs w:val="22"/>
              </w:rPr>
              <w:t>872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</w:t>
            </w:r>
            <w:r w:rsidR="00DB3E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444C27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DB3E6E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-250</w:t>
            </w:r>
            <w:r w:rsidR="007E20E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DB3E6E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E20E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B97E14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B3E6E">
              <w:rPr>
                <w:b/>
                <w:sz w:val="22"/>
                <w:szCs w:val="22"/>
              </w:rPr>
              <w:t>1 276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B3E6E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B97E14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E7ACD">
              <w:rPr>
                <w:b/>
                <w:sz w:val="22"/>
                <w:szCs w:val="22"/>
              </w:rPr>
              <w:t>,</w:t>
            </w:r>
            <w:r w:rsidR="00DB3E6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DB3E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B3E6E">
              <w:rPr>
                <w:b/>
                <w:sz w:val="22"/>
                <w:szCs w:val="22"/>
              </w:rPr>
              <w:t>1 279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B3E6E">
              <w:rPr>
                <w:b/>
                <w:sz w:val="22"/>
                <w:szCs w:val="22"/>
              </w:rPr>
              <w:t>610</w:t>
            </w:r>
            <w:r w:rsidR="0041595A">
              <w:rPr>
                <w:b/>
                <w:sz w:val="22"/>
                <w:szCs w:val="22"/>
              </w:rPr>
              <w:t>,</w:t>
            </w:r>
            <w:r w:rsidR="00DB3E6E">
              <w:rPr>
                <w:b/>
                <w:sz w:val="22"/>
                <w:szCs w:val="22"/>
              </w:rPr>
              <w:t>8</w:t>
            </w:r>
            <w:r w:rsidR="007E20E2">
              <w:rPr>
                <w:b/>
                <w:sz w:val="22"/>
                <w:szCs w:val="22"/>
              </w:rPr>
              <w:t>7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 - ), ztráta ( + 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DB3E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B3E6E">
              <w:rPr>
                <w:sz w:val="22"/>
                <w:szCs w:val="22"/>
              </w:rPr>
              <w:t>1 279</w:t>
            </w:r>
            <w:r>
              <w:rPr>
                <w:sz w:val="22"/>
                <w:szCs w:val="22"/>
              </w:rPr>
              <w:t xml:space="preserve"> </w:t>
            </w:r>
            <w:r w:rsidR="00DB3E6E">
              <w:rPr>
                <w:sz w:val="22"/>
                <w:szCs w:val="22"/>
              </w:rPr>
              <w:t>610</w:t>
            </w:r>
            <w:r w:rsidR="004E7ACD">
              <w:rPr>
                <w:sz w:val="22"/>
                <w:szCs w:val="22"/>
              </w:rPr>
              <w:t>,</w:t>
            </w:r>
            <w:r w:rsidR="00DB3E6E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7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7147A0">
        <w:rPr>
          <w:rFonts w:ascii="Times New Roman" w:hAnsi="Times New Roman"/>
          <w:sz w:val="22"/>
          <w:szCs w:val="22"/>
        </w:rPr>
        <w:t>.</w:t>
      </w:r>
      <w:r w:rsidR="008747DD">
        <w:rPr>
          <w:rFonts w:ascii="Times New Roman" w:hAnsi="Times New Roman"/>
          <w:sz w:val="22"/>
          <w:szCs w:val="22"/>
        </w:rPr>
        <w:t xml:space="preserve">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7147A0" w:rsidRDefault="000F245D" w:rsidP="00DB5FEF">
      <w:pPr>
        <w:jc w:val="both"/>
        <w:rPr>
          <w:b/>
          <w:sz w:val="22"/>
          <w:szCs w:val="22"/>
        </w:rPr>
      </w:pPr>
      <w:r w:rsidRPr="007147A0">
        <w:rPr>
          <w:b/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876"/>
        <w:gridCol w:w="1066"/>
        <w:gridCol w:w="711"/>
        <w:gridCol w:w="1023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ochr.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F6198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4F6198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4F6198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F6198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6198">
              <w:rPr>
                <w:sz w:val="22"/>
                <w:szCs w:val="22"/>
              </w:rPr>
              <w:t>100</w:t>
            </w:r>
            <w:r w:rsidR="003C7D08" w:rsidRPr="00414FA5"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F6198" w:rsidRPr="00414FA5" w:rsidTr="00414FA5">
        <w:tc>
          <w:tcPr>
            <w:tcW w:w="2972" w:type="dxa"/>
            <w:shd w:val="clear" w:color="auto" w:fill="auto"/>
          </w:tcPr>
          <w:p w:rsidR="004F6198" w:rsidRPr="00414FA5" w:rsidRDefault="004F619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 a obuv</w:t>
            </w:r>
          </w:p>
        </w:tc>
        <w:tc>
          <w:tcPr>
            <w:tcW w:w="0" w:type="auto"/>
            <w:shd w:val="clear" w:color="auto" w:fill="auto"/>
          </w:tcPr>
          <w:p w:rsidR="004F6198" w:rsidRPr="00414FA5" w:rsidRDefault="004F6198" w:rsidP="004F6198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4F6198" w:rsidRDefault="004F6198" w:rsidP="004F6198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</w:t>
            </w:r>
          </w:p>
        </w:tc>
        <w:tc>
          <w:tcPr>
            <w:tcW w:w="0" w:type="auto"/>
            <w:shd w:val="clear" w:color="auto" w:fill="auto"/>
          </w:tcPr>
          <w:p w:rsidR="004F6198" w:rsidRPr="00414FA5" w:rsidRDefault="004F619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8 400</w:t>
            </w:r>
          </w:p>
        </w:tc>
        <w:tc>
          <w:tcPr>
            <w:tcW w:w="0" w:type="auto"/>
            <w:shd w:val="clear" w:color="auto" w:fill="auto"/>
          </w:tcPr>
          <w:p w:rsidR="004F6198" w:rsidRDefault="004F619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99,06</w:t>
            </w:r>
          </w:p>
        </w:tc>
        <w:tc>
          <w:tcPr>
            <w:tcW w:w="0" w:type="auto"/>
            <w:shd w:val="clear" w:color="auto" w:fill="auto"/>
          </w:tcPr>
          <w:p w:rsidR="004F6198" w:rsidRPr="00414FA5" w:rsidRDefault="004F619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8 321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Drobný hm.dlouhodob.majetek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12274">
              <w:rPr>
                <w:sz w:val="22"/>
                <w:szCs w:val="22"/>
              </w:rPr>
              <w:t>5</w:t>
            </w:r>
            <w:r w:rsidR="004F6198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</w:t>
            </w:r>
            <w:r w:rsidR="00E12274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</w:t>
            </w:r>
            <w:r w:rsidR="004F6198">
              <w:rPr>
                <w:sz w:val="22"/>
                <w:szCs w:val="22"/>
              </w:rPr>
              <w:t xml:space="preserve"> </w:t>
            </w:r>
            <w:r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 xml:space="preserve">       </w:t>
            </w:r>
            <w:r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 xml:space="preserve">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607CDD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20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</w:t>
            </w:r>
            <w:r w:rsidR="00E12274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C7D08" w:rsidRPr="00414FA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162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12274">
              <w:rPr>
                <w:sz w:val="22"/>
                <w:szCs w:val="22"/>
              </w:rPr>
              <w:t>2</w:t>
            </w:r>
            <w:r w:rsidR="00607C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7CD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2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12274">
              <w:rPr>
                <w:sz w:val="22"/>
                <w:szCs w:val="22"/>
              </w:rPr>
              <w:t>3</w:t>
            </w:r>
            <w:r w:rsidR="007E20E2">
              <w:rPr>
                <w:sz w:val="22"/>
                <w:szCs w:val="22"/>
              </w:rPr>
              <w:t>,</w:t>
            </w:r>
            <w:r w:rsidR="00E12274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 xml:space="preserve"> 1 1</w:t>
            </w:r>
            <w:r w:rsidR="00E12274">
              <w:rPr>
                <w:sz w:val="22"/>
                <w:szCs w:val="22"/>
              </w:rPr>
              <w:t>2</w:t>
            </w:r>
            <w:r w:rsidR="007E20E2">
              <w:rPr>
                <w:sz w:val="22"/>
                <w:szCs w:val="22"/>
              </w:rPr>
              <w:t>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12274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</w:t>
            </w:r>
            <w:r w:rsidR="00E12274">
              <w:rPr>
                <w:sz w:val="22"/>
                <w:szCs w:val="22"/>
              </w:rPr>
              <w:t>7</w:t>
            </w:r>
            <w:r w:rsidR="007E20E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12274">
              <w:rPr>
                <w:sz w:val="22"/>
                <w:szCs w:val="22"/>
              </w:rPr>
              <w:t>3</w:t>
            </w:r>
            <w:r w:rsidRPr="00414FA5">
              <w:rPr>
                <w:sz w:val="22"/>
                <w:szCs w:val="22"/>
              </w:rPr>
              <w:t xml:space="preserve"> </w:t>
            </w:r>
            <w:r w:rsidR="00E12274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E20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E12274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E12274">
              <w:rPr>
                <w:sz w:val="22"/>
                <w:szCs w:val="22"/>
              </w:rPr>
              <w:t>950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5</w:t>
            </w:r>
            <w:r w:rsidRPr="00414FA5">
              <w:rPr>
                <w:sz w:val="22"/>
                <w:szCs w:val="22"/>
              </w:rPr>
              <w:t xml:space="preserve"> </w:t>
            </w:r>
            <w:r w:rsidR="00E12274">
              <w:rPr>
                <w:sz w:val="22"/>
                <w:szCs w:val="22"/>
              </w:rPr>
              <w:t>2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="00607C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</w:t>
            </w:r>
            <w:r w:rsidR="00E12274">
              <w:rPr>
                <w:sz w:val="22"/>
                <w:szCs w:val="22"/>
              </w:rPr>
              <w:t>8</w:t>
            </w:r>
            <w:r w:rsidRPr="00414FA5">
              <w:rPr>
                <w:sz w:val="22"/>
                <w:szCs w:val="22"/>
              </w:rPr>
              <w:t>,</w:t>
            </w:r>
            <w:r w:rsidR="00E12274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0B00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626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7147A0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7147A0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30 000</w:t>
            </w:r>
          </w:p>
        </w:tc>
        <w:tc>
          <w:tcPr>
            <w:tcW w:w="0" w:type="auto"/>
            <w:shd w:val="clear" w:color="auto" w:fill="auto"/>
          </w:tcPr>
          <w:p w:rsidR="000F245D" w:rsidRPr="007147A0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1</w:t>
            </w:r>
            <w:r w:rsidR="00E12274" w:rsidRPr="007147A0">
              <w:rPr>
                <w:b/>
                <w:sz w:val="22"/>
                <w:szCs w:val="22"/>
              </w:rPr>
              <w:t>4</w:t>
            </w:r>
            <w:r w:rsidR="007E20E2" w:rsidRPr="007147A0">
              <w:rPr>
                <w:b/>
                <w:sz w:val="22"/>
                <w:szCs w:val="22"/>
              </w:rPr>
              <w:t>6</w:t>
            </w:r>
            <w:r w:rsidRPr="007147A0">
              <w:rPr>
                <w:b/>
                <w:sz w:val="22"/>
                <w:szCs w:val="22"/>
              </w:rPr>
              <w:t>,</w:t>
            </w:r>
            <w:r w:rsidR="00E12274" w:rsidRPr="007147A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F245D" w:rsidRPr="007147A0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44</w:t>
            </w:r>
            <w:r w:rsidR="003C7D08" w:rsidRPr="007147A0">
              <w:rPr>
                <w:b/>
                <w:sz w:val="22"/>
                <w:szCs w:val="22"/>
              </w:rPr>
              <w:t xml:space="preserve"> </w:t>
            </w:r>
            <w:r w:rsidRPr="007147A0">
              <w:rPr>
                <w:b/>
                <w:sz w:val="22"/>
                <w:szCs w:val="22"/>
              </w:rPr>
              <w:t>3</w:t>
            </w:r>
            <w:r w:rsidR="007E20E2" w:rsidRPr="007147A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7147A0" w:rsidRDefault="003C7D08" w:rsidP="00E12274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99,</w:t>
            </w:r>
            <w:r w:rsidR="000B009B" w:rsidRPr="007147A0">
              <w:rPr>
                <w:b/>
                <w:sz w:val="22"/>
                <w:szCs w:val="22"/>
              </w:rPr>
              <w:t>2</w:t>
            </w:r>
            <w:r w:rsidR="00E12274" w:rsidRPr="007147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F245D" w:rsidRPr="007147A0" w:rsidRDefault="00E12274" w:rsidP="00E12274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7147A0">
              <w:rPr>
                <w:b/>
                <w:sz w:val="22"/>
                <w:szCs w:val="22"/>
              </w:rPr>
              <w:t>43</w:t>
            </w:r>
            <w:r w:rsidR="003C7D08" w:rsidRPr="007147A0">
              <w:rPr>
                <w:b/>
                <w:sz w:val="22"/>
                <w:szCs w:val="22"/>
              </w:rPr>
              <w:t xml:space="preserve"> </w:t>
            </w:r>
            <w:r w:rsidRPr="007147A0">
              <w:rPr>
                <w:b/>
                <w:sz w:val="22"/>
                <w:szCs w:val="22"/>
              </w:rPr>
              <w:t>979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201</w:t>
      </w:r>
      <w:r w:rsidR="00E12274">
        <w:rPr>
          <w:sz w:val="22"/>
          <w:szCs w:val="22"/>
        </w:rPr>
        <w:t>9</w:t>
      </w:r>
      <w:r w:rsidR="00FD0221" w:rsidRPr="00FD0221">
        <w:rPr>
          <w:sz w:val="22"/>
          <w:szCs w:val="22"/>
        </w:rPr>
        <w:t xml:space="preserve"> činily celkem </w:t>
      </w:r>
      <w:r w:rsidR="00A772D2">
        <w:rPr>
          <w:sz w:val="22"/>
          <w:szCs w:val="22"/>
        </w:rPr>
        <w:t>3</w:t>
      </w:r>
      <w:r w:rsidR="007147A0">
        <w:rPr>
          <w:sz w:val="22"/>
          <w:szCs w:val="22"/>
        </w:rPr>
        <w:t>76</w:t>
      </w:r>
      <w:r w:rsidR="00CD7064">
        <w:rPr>
          <w:sz w:val="22"/>
          <w:szCs w:val="22"/>
        </w:rPr>
        <w:t xml:space="preserve"> </w:t>
      </w:r>
      <w:r w:rsidR="007147A0">
        <w:rPr>
          <w:sz w:val="22"/>
          <w:szCs w:val="22"/>
        </w:rPr>
        <w:t>597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201</w:t>
      </w:r>
      <w:r w:rsidR="00E12274">
        <w:rPr>
          <w:sz w:val="22"/>
          <w:szCs w:val="22"/>
        </w:rPr>
        <w:t>9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r w:rsidRPr="00FD0221">
              <w:rPr>
                <w:b/>
                <w:bCs/>
                <w:sz w:val="22"/>
                <w:szCs w:val="22"/>
              </w:rPr>
              <w:t>poskyt.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E7ACD">
              <w:rPr>
                <w:sz w:val="22"/>
                <w:szCs w:val="22"/>
              </w:rPr>
              <w:t>ÚÚK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st. správy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CD70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CD7064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9B5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9B5590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SÚPM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A772D2">
              <w:rPr>
                <w:sz w:val="22"/>
                <w:szCs w:val="22"/>
              </w:rPr>
              <w:t>ochr.pom.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1227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12274">
              <w:rPr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51A36" w:rsidP="00E12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Volby </w:t>
            </w:r>
            <w:r w:rsidR="00E12274">
              <w:rPr>
                <w:sz w:val="22"/>
                <w:szCs w:val="22"/>
              </w:rPr>
              <w:t>Evropský parl.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E12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E12274">
              <w:rPr>
                <w:sz w:val="22"/>
                <w:szCs w:val="22"/>
              </w:rPr>
              <w:t>348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227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E1227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51A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E12274" w:rsidP="00E122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A13E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C51A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772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772D2">
            <w:pPr>
              <w:jc w:val="right"/>
              <w:rPr>
                <w:sz w:val="22"/>
                <w:szCs w:val="22"/>
              </w:rPr>
            </w:pP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E122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12274">
              <w:rPr>
                <w:b/>
                <w:bCs/>
                <w:sz w:val="22"/>
                <w:szCs w:val="22"/>
              </w:rPr>
              <w:t>76</w:t>
            </w:r>
            <w:r w:rsidR="00D3509A">
              <w:rPr>
                <w:b/>
                <w:bCs/>
                <w:sz w:val="22"/>
                <w:szCs w:val="22"/>
              </w:rPr>
              <w:t> </w:t>
            </w:r>
            <w:r w:rsidR="00E12274">
              <w:rPr>
                <w:b/>
                <w:bCs/>
                <w:sz w:val="22"/>
                <w:szCs w:val="22"/>
              </w:rPr>
              <w:t>597</w:t>
            </w:r>
            <w:r w:rsidR="00D3509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3509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o.s.</w:t>
            </w:r>
          </w:p>
        </w:tc>
        <w:tc>
          <w:tcPr>
            <w:tcW w:w="2268" w:type="dxa"/>
          </w:tcPr>
          <w:p w:rsidR="00470BB7" w:rsidRPr="001B4210" w:rsidRDefault="005E2642" w:rsidP="007147A0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7147A0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7147A0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7147A0">
              <w:rPr>
                <w:b/>
                <w:bCs/>
                <w:sz w:val="22"/>
                <w:szCs w:val="22"/>
              </w:rPr>
              <w:t>30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A76F20">
        <w:rPr>
          <w:b/>
          <w:bCs/>
          <w:sz w:val="22"/>
          <w:szCs w:val="22"/>
        </w:rPr>
        <w:t>1</w:t>
      </w:r>
      <w:r w:rsidR="007147A0">
        <w:rPr>
          <w:b/>
          <w:bCs/>
          <w:sz w:val="22"/>
          <w:szCs w:val="22"/>
        </w:rPr>
        <w:t>9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C900A0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542B2C">
        <w:rPr>
          <w:sz w:val="22"/>
          <w:szCs w:val="22"/>
        </w:rPr>
        <w:t xml:space="preserve">Ing. </w:t>
      </w:r>
      <w:r w:rsidR="00C900A0">
        <w:rPr>
          <w:sz w:val="22"/>
          <w:szCs w:val="22"/>
        </w:rPr>
        <w:t>Milan Bédi</w:t>
      </w:r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C900A0">
        <w:rPr>
          <w:sz w:val="22"/>
          <w:szCs w:val="22"/>
        </w:rPr>
        <w:t>11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C900A0">
        <w:rPr>
          <w:sz w:val="22"/>
          <w:szCs w:val="22"/>
        </w:rPr>
        <w:t>11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201</w:t>
      </w:r>
      <w:r w:rsidR="00C900A0">
        <w:rPr>
          <w:sz w:val="22"/>
          <w:szCs w:val="22"/>
        </w:rPr>
        <w:t>9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C900A0">
        <w:rPr>
          <w:sz w:val="22"/>
          <w:szCs w:val="22"/>
        </w:rPr>
        <w:t>26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0</w:t>
      </w:r>
      <w:r w:rsidR="00C900A0">
        <w:rPr>
          <w:sz w:val="22"/>
          <w:szCs w:val="22"/>
        </w:rPr>
        <w:t>5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C900A0">
        <w:rPr>
          <w:sz w:val="22"/>
          <w:szCs w:val="22"/>
        </w:rPr>
        <w:t>20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201</w:t>
      </w:r>
      <w:r w:rsidR="00C900A0">
        <w:rPr>
          <w:bCs/>
          <w:sz w:val="22"/>
          <w:szCs w:val="22"/>
        </w:rPr>
        <w:t>9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201</w:t>
      </w:r>
      <w:r w:rsidR="00C900A0">
        <w:rPr>
          <w:bCs/>
          <w:sz w:val="22"/>
          <w:szCs w:val="22"/>
        </w:rPr>
        <w:t>9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>podaření</w:t>
      </w:r>
      <w:r w:rsidR="00C900A0">
        <w:rPr>
          <w:bCs/>
          <w:sz w:val="22"/>
          <w:szCs w:val="22"/>
        </w:rPr>
        <w:t>: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pohledávek na rozpočtu územního 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 w:rsidR="00DB5FEF" w:rsidRPr="00542B2C">
        <w:rPr>
          <w:bCs/>
          <w:sz w:val="22"/>
          <w:szCs w:val="22"/>
        </w:rPr>
        <w:t>1</w:t>
      </w:r>
      <w:r w:rsidR="007A12C7" w:rsidRPr="00542B2C">
        <w:rPr>
          <w:bCs/>
          <w:sz w:val="22"/>
          <w:szCs w:val="22"/>
        </w:rPr>
        <w:t>,</w:t>
      </w:r>
      <w:r w:rsidR="00C900A0">
        <w:rPr>
          <w:bCs/>
          <w:sz w:val="22"/>
          <w:szCs w:val="22"/>
        </w:rPr>
        <w:t>33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závazků na rozpočtu územního 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C900A0">
        <w:rPr>
          <w:bCs/>
          <w:sz w:val="22"/>
          <w:szCs w:val="22"/>
        </w:rPr>
        <w:t xml:space="preserve"> 4</w:t>
      </w:r>
      <w:r w:rsidR="007A12C7" w:rsidRPr="00542B2C">
        <w:rPr>
          <w:bCs/>
          <w:sz w:val="22"/>
          <w:szCs w:val="22"/>
        </w:rPr>
        <w:t>,</w:t>
      </w:r>
      <w:r w:rsidR="00C900A0">
        <w:rPr>
          <w:bCs/>
          <w:sz w:val="22"/>
          <w:szCs w:val="22"/>
        </w:rPr>
        <w:t>7</w:t>
      </w:r>
      <w:r w:rsidR="00542B2C">
        <w:rPr>
          <w:bCs/>
          <w:sz w:val="22"/>
          <w:szCs w:val="22"/>
        </w:rPr>
        <w:t>0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zastaveného majetku na celkovém majetku územního celku           </w:t>
      </w:r>
      <w:r w:rsidR="00C55DA1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Pr="00542B2C">
        <w:rPr>
          <w:bCs/>
          <w:sz w:val="22"/>
          <w:szCs w:val="22"/>
        </w:rPr>
        <w:t xml:space="preserve">      0,00 %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C900A0" w:rsidRPr="00542B2C" w:rsidRDefault="00C900A0" w:rsidP="00C900A0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hospodaření ÚSC Kladruby za rok 201</w:t>
      </w:r>
      <w:r>
        <w:rPr>
          <w:bCs/>
          <w:sz w:val="22"/>
          <w:szCs w:val="22"/>
        </w:rPr>
        <w:t>9</w:t>
      </w:r>
      <w:r w:rsidRPr="00542B2C">
        <w:rPr>
          <w:bCs/>
          <w:sz w:val="22"/>
          <w:szCs w:val="22"/>
        </w:rPr>
        <w:t xml:space="preserve"> byl</w:t>
      </w:r>
      <w:r>
        <w:rPr>
          <w:bCs/>
          <w:sz w:val="22"/>
          <w:szCs w:val="22"/>
        </w:rPr>
        <w:t xml:space="preserve">o ověřeno dle </w:t>
      </w:r>
      <w:r w:rsidRPr="00542B2C">
        <w:rPr>
          <w:bCs/>
          <w:sz w:val="22"/>
          <w:szCs w:val="22"/>
        </w:rPr>
        <w:t>§ 1</w:t>
      </w:r>
      <w:r>
        <w:rPr>
          <w:bCs/>
          <w:sz w:val="22"/>
          <w:szCs w:val="22"/>
        </w:rPr>
        <w:t>7 zákona č. 23/2017 Sb., o pravidlech rozpočtové odpovědnosti, že dluh územního celku nepřekročil 60 % průměru jeho příjmů za poslední 4 rozpočtové roky.</w:t>
      </w:r>
    </w:p>
    <w:p w:rsidR="00C900A0" w:rsidRDefault="00C900A0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C900A0">
        <w:rPr>
          <w:sz w:val="22"/>
          <w:szCs w:val="22"/>
        </w:rPr>
        <w:t>9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7147A0">
        <w:rPr>
          <w:sz w:val="22"/>
          <w:szCs w:val="22"/>
        </w:rPr>
        <w:t>9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7147A0">
        <w:rPr>
          <w:sz w:val="22"/>
          <w:szCs w:val="22"/>
        </w:rPr>
        <w:t>9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7147A0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27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0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20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31.12.201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31.12.201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31.12.201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31.12.201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0E0B6D" w:rsidRDefault="000E0B6D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Hodnotící zpráva pro KÚÚK k 31.12.201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27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B649E3" w:rsidRPr="00B649E3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="007147A0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C84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bookmarkStart w:id="0" w:name="_GoBack"/>
            <w:bookmarkEnd w:id="0"/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7147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47A0" w:rsidRDefault="003A22C9" w:rsidP="007147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7147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05. 20</w:t>
            </w:r>
            <w:r w:rsidR="007147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:rsidR="007147A0" w:rsidRDefault="007147A0" w:rsidP="007147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A22C9" w:rsidRPr="00A566F0" w:rsidRDefault="003A22C9" w:rsidP="007147A0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E3" w:rsidRDefault="006943E3" w:rsidP="00590AEF">
      <w:r>
        <w:separator/>
      </w:r>
    </w:p>
  </w:endnote>
  <w:endnote w:type="continuationSeparator" w:id="0">
    <w:p w:rsidR="006943E3" w:rsidRDefault="006943E3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2C" w:rsidRDefault="00542B2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836">
      <w:rPr>
        <w:noProof/>
      </w:rPr>
      <w:t>1</w:t>
    </w:r>
    <w:r>
      <w:fldChar w:fldCharType="end"/>
    </w:r>
  </w:p>
  <w:p w:rsidR="00542B2C" w:rsidRDefault="00542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E3" w:rsidRDefault="006943E3" w:rsidP="00590AEF">
      <w:r>
        <w:separator/>
      </w:r>
    </w:p>
  </w:footnote>
  <w:footnote w:type="continuationSeparator" w:id="0">
    <w:p w:rsidR="006943E3" w:rsidRDefault="006943E3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221395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3C90"/>
    <w:rsid w:val="003228B1"/>
    <w:rsid w:val="00326365"/>
    <w:rsid w:val="003531F5"/>
    <w:rsid w:val="003958CD"/>
    <w:rsid w:val="003A22C9"/>
    <w:rsid w:val="003A37F7"/>
    <w:rsid w:val="003C01A0"/>
    <w:rsid w:val="003C4F8F"/>
    <w:rsid w:val="003C7D08"/>
    <w:rsid w:val="003D2549"/>
    <w:rsid w:val="003E298D"/>
    <w:rsid w:val="003E338D"/>
    <w:rsid w:val="004033A7"/>
    <w:rsid w:val="00414FA5"/>
    <w:rsid w:val="0041595A"/>
    <w:rsid w:val="00444C27"/>
    <w:rsid w:val="00445F32"/>
    <w:rsid w:val="00464A3C"/>
    <w:rsid w:val="00470BB7"/>
    <w:rsid w:val="00473D15"/>
    <w:rsid w:val="004A4329"/>
    <w:rsid w:val="004D441E"/>
    <w:rsid w:val="004D75AF"/>
    <w:rsid w:val="004E27FA"/>
    <w:rsid w:val="004E7ACD"/>
    <w:rsid w:val="004F6198"/>
    <w:rsid w:val="00513E7B"/>
    <w:rsid w:val="00516185"/>
    <w:rsid w:val="00522068"/>
    <w:rsid w:val="00522845"/>
    <w:rsid w:val="0054061F"/>
    <w:rsid w:val="00542B2C"/>
    <w:rsid w:val="00542CBA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43E3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47A0"/>
    <w:rsid w:val="00715354"/>
    <w:rsid w:val="00730427"/>
    <w:rsid w:val="00745B72"/>
    <w:rsid w:val="00754A81"/>
    <w:rsid w:val="00777D0D"/>
    <w:rsid w:val="007825D7"/>
    <w:rsid w:val="007A12C7"/>
    <w:rsid w:val="007A25FD"/>
    <w:rsid w:val="007C1FEF"/>
    <w:rsid w:val="007C63D8"/>
    <w:rsid w:val="007D0F92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2DA2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97E14"/>
    <w:rsid w:val="00BA5348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84836"/>
    <w:rsid w:val="00C900A0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3E6E"/>
    <w:rsid w:val="00DB5FEF"/>
    <w:rsid w:val="00DD703B"/>
    <w:rsid w:val="00E0349D"/>
    <w:rsid w:val="00E12274"/>
    <w:rsid w:val="00E36870"/>
    <w:rsid w:val="00E50B4E"/>
    <w:rsid w:val="00E6418C"/>
    <w:rsid w:val="00E76193"/>
    <w:rsid w:val="00E82BBF"/>
    <w:rsid w:val="00E83C74"/>
    <w:rsid w:val="00E856FF"/>
    <w:rsid w:val="00EB6E37"/>
    <w:rsid w:val="00F03FC1"/>
    <w:rsid w:val="00F04752"/>
    <w:rsid w:val="00F139CB"/>
    <w:rsid w:val="00F15047"/>
    <w:rsid w:val="00F5245D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C48CE-C25E-4D60-B7D1-DBF2828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5947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30</cp:revision>
  <cp:lastPrinted>2020-06-18T06:52:00Z</cp:lastPrinted>
  <dcterms:created xsi:type="dcterms:W3CDTF">2016-05-16T13:22:00Z</dcterms:created>
  <dcterms:modified xsi:type="dcterms:W3CDTF">2020-06-18T06:52:00Z</dcterms:modified>
</cp:coreProperties>
</file>